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3626A" w:rsidRDefault="0003626A" w:rsidP="0003626A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</w:pPr>
      <w:r w:rsidRPr="0003626A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ԱՅԼ</w:t>
      </w:r>
      <w:r w:rsidRPr="0003626A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03626A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ԳԵՐԱՏԵՍՉՈՒԹՅՈՒՆՆԵՐԻ</w:t>
      </w:r>
      <w:r w:rsidRPr="0003626A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03626A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ՀԵՏ</w:t>
      </w:r>
      <w:r w:rsidRPr="0003626A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03626A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ՏԵՂԵԿԱՏՎՈՒԹՅԱՆ</w:t>
      </w:r>
      <w:r w:rsidRPr="0003626A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03626A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ՓՈԽԱՆԱԿՈՒՄ</w:t>
      </w:r>
    </w:p>
    <w:p w:rsidR="0003626A" w:rsidRPr="0003626A" w:rsidRDefault="0003626A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</w:p>
    <w:p w:rsidR="0003626A" w:rsidRPr="0003626A" w:rsidRDefault="0003626A" w:rsidP="0003626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Համակարգը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ապահովում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է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դատավորի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կողմից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պետական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մարմիններ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էլեկտրո</w:t>
      </w:r>
      <w:r w:rsidRPr="0003626A">
        <w:rPr>
          <w:rFonts w:ascii="GHEA Grapalat" w:eastAsia="GHEA Grapalat" w:hAnsi="GHEA Grapalat" w:cs="Arial"/>
          <w:sz w:val="24"/>
          <w:szCs w:val="24"/>
        </w:rPr>
        <w:softHyphen/>
        <w:t>նային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եղանակով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հարցումներ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իրականացնելու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տեղեկատվության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ստանալու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հնարավո</w:t>
      </w:r>
      <w:r w:rsidRPr="0003626A">
        <w:rPr>
          <w:rFonts w:ascii="GHEA Grapalat" w:eastAsia="GHEA Grapalat" w:hAnsi="GHEA Grapalat" w:cs="Arial"/>
          <w:sz w:val="24"/>
          <w:szCs w:val="24"/>
        </w:rPr>
        <w:softHyphen/>
        <w:t>րու</w:t>
      </w:r>
      <w:r w:rsidRPr="0003626A">
        <w:rPr>
          <w:rFonts w:ascii="GHEA Grapalat" w:eastAsia="GHEA Grapalat" w:hAnsi="GHEA Grapalat" w:cs="Arial"/>
          <w:sz w:val="24"/>
          <w:szCs w:val="24"/>
        </w:rPr>
        <w:softHyphen/>
        <w:t>թյունը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Համակարգը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կառուցվել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է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այնպես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որ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վերը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նշված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գործողությունները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հնարա</w:t>
      </w:r>
      <w:r w:rsidRPr="0003626A">
        <w:rPr>
          <w:rFonts w:ascii="GHEA Grapalat" w:eastAsia="GHEA Grapalat" w:hAnsi="GHEA Grapalat" w:cs="Arial"/>
          <w:sz w:val="24"/>
          <w:szCs w:val="24"/>
        </w:rPr>
        <w:softHyphen/>
        <w:t>վոր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լինեն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կատարել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եղանակով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հնարավորու</w:t>
      </w:r>
      <w:r w:rsidRPr="0003626A">
        <w:rPr>
          <w:rFonts w:ascii="GHEA Grapalat" w:eastAsia="GHEA Grapalat" w:hAnsi="GHEA Grapalat" w:cs="GHEA Grapalat"/>
          <w:sz w:val="24"/>
          <w:szCs w:val="24"/>
        </w:rPr>
        <w:softHyphen/>
      </w:r>
      <w:r w:rsidRPr="0003626A">
        <w:rPr>
          <w:rFonts w:ascii="GHEA Grapalat" w:eastAsia="GHEA Grapalat" w:hAnsi="GHEA Grapalat" w:cs="Arial"/>
          <w:sz w:val="24"/>
          <w:szCs w:val="24"/>
        </w:rPr>
        <w:t>թյան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դեպքում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տվյալների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ինքնաշ</w:t>
      </w:r>
      <w:r w:rsidRPr="0003626A">
        <w:rPr>
          <w:rFonts w:ascii="GHEA Grapalat" w:eastAsia="GHEA Grapalat" w:hAnsi="GHEA Grapalat" w:cs="Arial"/>
          <w:sz w:val="24"/>
          <w:szCs w:val="24"/>
        </w:rPr>
        <w:softHyphen/>
        <w:t>խատ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բեռնման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03626A">
        <w:rPr>
          <w:rFonts w:ascii="GHEA Grapalat" w:eastAsia="GHEA Grapalat" w:hAnsi="GHEA Grapalat" w:cs="GHEA Grapalat"/>
          <w:sz w:val="24"/>
          <w:szCs w:val="24"/>
        </w:rPr>
        <w:t>import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միջոցով</w:t>
      </w:r>
      <w:proofErr w:type="spellEnd"/>
      <w:r w:rsidRPr="0003626A">
        <w:rPr>
          <w:rFonts w:ascii="GHEA Grapalat" w:eastAsia="GHEA Grapalat" w:hAnsi="GHEA Grapalat" w:cs="Arial"/>
          <w:sz w:val="24"/>
          <w:szCs w:val="24"/>
        </w:rPr>
        <w:t>՝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առանց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փաստա</w:t>
      </w:r>
      <w:r w:rsidRPr="0003626A">
        <w:rPr>
          <w:rFonts w:ascii="GHEA Grapalat" w:eastAsia="GHEA Grapalat" w:hAnsi="GHEA Grapalat" w:cs="GHEA Grapalat"/>
          <w:sz w:val="24"/>
          <w:szCs w:val="24"/>
        </w:rPr>
        <w:softHyphen/>
      </w:r>
      <w:r w:rsidRPr="0003626A">
        <w:rPr>
          <w:rFonts w:ascii="GHEA Grapalat" w:eastAsia="GHEA Grapalat" w:hAnsi="GHEA Grapalat" w:cs="Arial"/>
          <w:sz w:val="24"/>
          <w:szCs w:val="24"/>
        </w:rPr>
        <w:t>թղթային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հարցումների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իրականացման</w:t>
      </w:r>
      <w:proofErr w:type="spellEnd"/>
      <w:r w:rsidRPr="0003626A">
        <w:rPr>
          <w:rFonts w:ascii="GHEA Grapalat" w:eastAsia="GHEA Grapalat" w:hAnsi="GHEA Grapalat" w:cs="Arial"/>
          <w:sz w:val="24"/>
          <w:szCs w:val="24"/>
        </w:rPr>
        <w:t>։</w:t>
      </w:r>
    </w:p>
    <w:p w:rsidR="0003626A" w:rsidRPr="0003626A" w:rsidRDefault="0003626A" w:rsidP="0003626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Փաստաթղթերի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տեղեկատվության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ստացման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փոխանցման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գործընթացները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ինչպես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նաև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հարցումների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ուղարկումը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պատասխանների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ստացումը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իրականացվելու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sz w:val="24"/>
          <w:szCs w:val="24"/>
        </w:rPr>
        <w:t>է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միջոցով</w:t>
      </w:r>
      <w:proofErr w:type="spellEnd"/>
      <w:r w:rsidRPr="0003626A">
        <w:rPr>
          <w:rFonts w:ascii="GHEA Grapalat" w:eastAsia="GHEA Grapalat" w:hAnsi="GHEA Grapalat" w:cs="Arial"/>
          <w:sz w:val="24"/>
          <w:szCs w:val="24"/>
        </w:rPr>
        <w:t>՝</w:t>
      </w:r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ինքնաշխատ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եղանակով</w:t>
      </w:r>
      <w:proofErr w:type="spellEnd"/>
      <w:r w:rsidRPr="0003626A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sz w:val="24"/>
          <w:szCs w:val="24"/>
        </w:rPr>
        <w:t>մասնավորապես</w:t>
      </w:r>
      <w:proofErr w:type="spellEnd"/>
      <w:r w:rsidRPr="0003626A">
        <w:rPr>
          <w:rFonts w:ascii="GHEA Grapalat" w:eastAsia="GHEA Grapalat" w:hAnsi="GHEA Grapalat" w:cs="Arial"/>
          <w:sz w:val="24"/>
          <w:szCs w:val="24"/>
        </w:rPr>
        <w:t>՝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մշակվել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Արդարադատության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նախարարությանը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պատկանող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E-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court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filing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system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հարթակի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վրա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որի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նկարագրությունները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տրված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են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նախորդ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գլուխներում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Համակարգը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գործում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է 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court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filing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system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հարթակի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այլ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հետ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և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աշխատում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որպես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մեկ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միասնակա</w:t>
      </w:r>
      <w:bookmarkStart w:id="0" w:name="_GoBack"/>
      <w:bookmarkEnd w:id="0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Համակարգը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փոխգործելի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է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Հայփոստ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haypost.am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փոստային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կենտրոնական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բանկի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համապա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տասխան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հետ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՝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արտարժույթի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փոխարժեքները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ստանալու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նպատակով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քաղաքացիական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կացության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ակտերի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գրանցման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գործակա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լության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իրավաբանական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անձանց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պետական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ռեգիստրի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register.am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ապոստիլի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միասնական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գրանցամատյանի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apostille.am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Նոտարական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պալա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տի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notary.am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անձնական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տվյալների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և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փաստաթղթերի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citizen.am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հարթակի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հետ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նաև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ծանուցումների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հնարա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վորություն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պետական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վճարումների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payments.am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ճանապարհային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ոս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տի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կանության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roadpolice.am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ՀՀ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հարկադիր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կատարումն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ապահովող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ծառայության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cesa.am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Կադաստրի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կոմիտեի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(e-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cadastre.am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),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Arial"/>
          <w:color w:val="000000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արժեթղթերի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ռեեստրա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softHyphen/>
        <w:t>վարման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  <w:lang w:val="en-US"/>
        </w:rPr>
        <w:t>:</w:t>
      </w:r>
    </w:p>
    <w:p w:rsidR="0003626A" w:rsidRPr="0003626A" w:rsidRDefault="0003626A" w:rsidP="000362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GHEA Grapalat" w:hAnsi="GHEA Grapalat"/>
          <w:sz w:val="24"/>
        </w:rPr>
      </w:pPr>
      <w:proofErr w:type="spellStart"/>
      <w:r w:rsidRPr="0003626A">
        <w:rPr>
          <w:rFonts w:ascii="GHEA Grapalat" w:hAnsi="GHEA Grapalat"/>
          <w:sz w:val="24"/>
        </w:rPr>
        <w:t>Վերը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նշված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համակարգերի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հետ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ինտեգրացիան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կիրականացվի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պատվիրա</w:t>
      </w:r>
      <w:r w:rsidRPr="0003626A">
        <w:rPr>
          <w:rFonts w:ascii="GHEA Grapalat" w:hAnsi="GHEA Grapalat"/>
          <w:sz w:val="24"/>
        </w:rPr>
        <w:softHyphen/>
        <w:t>տուի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կողմից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API-րը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տրամադրելու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դեպքում</w:t>
      </w:r>
      <w:proofErr w:type="spellEnd"/>
      <w:r w:rsidRPr="0003626A">
        <w:rPr>
          <w:rFonts w:ascii="GHEA Grapalat" w:hAnsi="GHEA Grapalat"/>
          <w:sz w:val="24"/>
        </w:rPr>
        <w:t xml:space="preserve">: </w:t>
      </w:r>
      <w:proofErr w:type="spellStart"/>
      <w:r w:rsidRPr="0003626A">
        <w:rPr>
          <w:rFonts w:ascii="GHEA Grapalat" w:hAnsi="GHEA Grapalat"/>
          <w:sz w:val="24"/>
        </w:rPr>
        <w:t>Այդ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դեպքում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մշակվել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են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ինտերֆեյսներ</w:t>
      </w:r>
      <w:proofErr w:type="spellEnd"/>
      <w:r w:rsidRPr="0003626A">
        <w:rPr>
          <w:rFonts w:ascii="GHEA Grapalat" w:hAnsi="GHEA Grapalat"/>
          <w:sz w:val="24"/>
        </w:rPr>
        <w:t xml:space="preserve">, </w:t>
      </w:r>
      <w:proofErr w:type="spellStart"/>
      <w:r w:rsidRPr="0003626A">
        <w:rPr>
          <w:rFonts w:ascii="GHEA Grapalat" w:hAnsi="GHEA Grapalat"/>
          <w:sz w:val="24"/>
        </w:rPr>
        <w:t>որոնք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ապահովում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են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հարցումների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ուղարկումը</w:t>
      </w:r>
      <w:proofErr w:type="spellEnd"/>
      <w:r w:rsidRPr="0003626A">
        <w:rPr>
          <w:rFonts w:ascii="GHEA Grapalat" w:hAnsi="GHEA Grapalat"/>
          <w:sz w:val="24"/>
        </w:rPr>
        <w:t xml:space="preserve">, </w:t>
      </w:r>
      <w:proofErr w:type="spellStart"/>
      <w:r w:rsidRPr="0003626A">
        <w:rPr>
          <w:rFonts w:ascii="GHEA Grapalat" w:hAnsi="GHEA Grapalat"/>
          <w:sz w:val="24"/>
        </w:rPr>
        <w:t>պատասխանների</w:t>
      </w:r>
      <w:proofErr w:type="spellEnd"/>
      <w:r w:rsidRPr="0003626A">
        <w:rPr>
          <w:rFonts w:ascii="GHEA Grapalat" w:hAnsi="GHEA Grapalat"/>
          <w:sz w:val="24"/>
        </w:rPr>
        <w:t xml:space="preserve"> </w:t>
      </w:r>
      <w:proofErr w:type="spellStart"/>
      <w:r w:rsidRPr="0003626A">
        <w:rPr>
          <w:rFonts w:ascii="GHEA Grapalat" w:hAnsi="GHEA Grapalat"/>
          <w:sz w:val="24"/>
        </w:rPr>
        <w:t>ընդունումը</w:t>
      </w:r>
      <w:proofErr w:type="spellEnd"/>
      <w:r w:rsidRPr="0003626A">
        <w:rPr>
          <w:rFonts w:ascii="GHEA Grapalat" w:hAnsi="GHEA Grapalat"/>
          <w:sz w:val="24"/>
        </w:rPr>
        <w:t xml:space="preserve">, </w:t>
      </w:r>
      <w:proofErr w:type="spellStart"/>
      <w:r w:rsidRPr="0003626A">
        <w:rPr>
          <w:rFonts w:ascii="GHEA Grapalat" w:hAnsi="GHEA Grapalat"/>
          <w:sz w:val="24"/>
        </w:rPr>
        <w:t>պահպանումը</w:t>
      </w:r>
      <w:proofErr w:type="spellEnd"/>
      <w:r w:rsidRPr="0003626A">
        <w:rPr>
          <w:rFonts w:ascii="GHEA Grapalat" w:hAnsi="GHEA Grapalat"/>
          <w:sz w:val="24"/>
        </w:rPr>
        <w:t xml:space="preserve"> և </w:t>
      </w:r>
      <w:proofErr w:type="spellStart"/>
      <w:r w:rsidRPr="0003626A">
        <w:rPr>
          <w:rFonts w:ascii="GHEA Grapalat" w:hAnsi="GHEA Grapalat"/>
          <w:sz w:val="24"/>
        </w:rPr>
        <w:t>ցուցադրումը</w:t>
      </w:r>
      <w:proofErr w:type="spellEnd"/>
      <w:r w:rsidRPr="0003626A">
        <w:rPr>
          <w:rFonts w:ascii="GHEA Grapalat" w:hAnsi="GHEA Grapalat"/>
          <w:sz w:val="24"/>
        </w:rPr>
        <w:t xml:space="preserve">։ </w:t>
      </w:r>
    </w:p>
    <w:p w:rsidR="0003626A" w:rsidRPr="0003626A" w:rsidRDefault="0003626A" w:rsidP="000362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lastRenderedPageBreak/>
        <w:t>Յուրաքանչյուր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փաստաթուղթ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որը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գեներացվել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կողմից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ունենալու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թվանշաններից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բաղկացած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կոդ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գաղտնաբառ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QR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կոդ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որոնց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միջոցով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հնարավոր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կլինի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ստուգել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փաստաթղթերի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վավերականությունը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տեսնել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փաստաթղթի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տեսակը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ներկա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և</w:t>
      </w:r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նախկին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կարգավիճակները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փաստաթղթի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տարբերակը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հատուկ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տարբերանշանով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),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ինչպես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նաև</w:t>
      </w:r>
      <w:proofErr w:type="spellEnd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՝</w:t>
      </w:r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փաստաթղթի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03626A">
        <w:rPr>
          <w:rFonts w:ascii="GHEA Grapalat" w:eastAsia="GHEA Grapalat" w:hAnsi="GHEA Grapalat" w:cs="Arial"/>
          <w:color w:val="000000"/>
          <w:sz w:val="24"/>
          <w:szCs w:val="24"/>
        </w:rPr>
        <w:t>պատմությունը</w:t>
      </w:r>
      <w:proofErr w:type="spellEnd"/>
      <w:r w:rsidRPr="0003626A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03626A" w:rsidRPr="0003626A" w:rsidRDefault="0003626A" w:rsidP="0003626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03626A" w:rsidRPr="0003626A" w:rsidRDefault="0003626A" w:rsidP="0003626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03626A">
        <w:rPr>
          <w:rFonts w:ascii="GHEA Grapalat" w:eastAsia="GHEA Grapalat" w:hAnsi="GHEA Grapalat" w:cs="GHEA Grapalat"/>
          <w:noProof/>
          <w:color w:val="000000"/>
          <w:sz w:val="24"/>
          <w:szCs w:val="24"/>
        </w:rPr>
        <w:drawing>
          <wp:inline distT="0" distB="0" distL="0" distR="0" wp14:anchorId="403BD47F" wp14:editId="5253E24E">
            <wp:extent cx="6127794" cy="4914900"/>
            <wp:effectExtent l="0" t="0" r="635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742" cy="49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6C7" w:rsidRPr="0003626A" w:rsidRDefault="003606C7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en"/>
        </w:rPr>
      </w:pPr>
    </w:p>
    <w:sectPr w:rsidR="003606C7" w:rsidRPr="0003626A" w:rsidSect="0003626A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9432E0"/>
    <w:lvl w:ilvl="0">
      <w:numFmt w:val="bullet"/>
      <w:lvlText w:val="*"/>
      <w:lvlJc w:val="left"/>
    </w:lvl>
  </w:abstractNum>
  <w:abstractNum w:abstractNumId="1" w15:restartNumberingAfterBreak="0">
    <w:nsid w:val="22554673"/>
    <w:multiLevelType w:val="multilevel"/>
    <w:tmpl w:val="C5FE18C0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6A"/>
    <w:rsid w:val="0003626A"/>
    <w:rsid w:val="003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D9FD3"/>
  <w14:defaultImageDpi w14:val="0"/>
  <w15:docId w15:val="{ACCBD9C2-047A-4AD6-8E3D-A5C4857F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2023-01-29T14:42:00Z</dcterms:created>
  <dcterms:modified xsi:type="dcterms:W3CDTF">2023-01-29T14:42:00Z</dcterms:modified>
</cp:coreProperties>
</file>